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pBdr>
          <w:bottom w:val="single" w:sz="12" w:space="1" w:color="000000"/>
        </w:pBdr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cs="Times New Roman" w:ascii="Times New Roman" w:hAnsi="Times New Roman"/>
          <w:b/>
          <w:sz w:val="24"/>
          <w:szCs w:val="28"/>
        </w:rPr>
        <w:t>МИНОБРНАУКИ РОССИИ</w:t>
        <w:br/>
        <w:t>федеральное государственное автономное образовательное учреждение</w:t>
        <w:br/>
        <w:t>высшего образования</w:t>
        <w:br/>
        <w:t>«Московский государственный технологический университет «СТАНКИН»</w:t>
        <w:br/>
        <w:t>(ФГАОУ ВО «МГТУ «СТАНКИН»)</w:t>
      </w:r>
    </w:p>
    <w:tbl>
      <w:tblPr>
        <w:tblW w:w="9354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25"/>
        <w:gridCol w:w="4721"/>
        <w:gridCol w:w="2408"/>
      </w:tblGrid>
      <w:tr>
        <w:trPr/>
        <w:tc>
          <w:tcPr>
            <w:tcW w:w="2225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eastAsia="Calibri" w:cs="Times New Roman" w:ascii="Times New Roman" w:hAnsi="Times New Roman"/>
                <w:b/>
                <w:kern w:val="0"/>
                <w:sz w:val="24"/>
                <w:szCs w:val="28"/>
                <w:lang w:val="ru-RU" w:eastAsia="en-US" w:bidi="ar-SA"/>
              </w:rPr>
              <w:t xml:space="preserve">Институт Информационных </w:t>
              <w:br/>
              <w:t>Технологий</w:t>
            </w:r>
          </w:p>
        </w:tc>
        <w:tc>
          <w:tcPr>
            <w:tcW w:w="472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cs="Times New Roman" w:ascii="Times New Roman" w:hAnsi="Times New Roman"/>
                <w:b/>
                <w:sz w:val="24"/>
                <w:szCs w:val="28"/>
              </w:rPr>
            </w:r>
          </w:p>
        </w:tc>
        <w:tc>
          <w:tcPr>
            <w:tcW w:w="2408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eastAsia="Calibri" w:cs="Times New Roman" w:ascii="Times New Roman" w:hAnsi="Times New Roman"/>
                <w:b/>
                <w:kern w:val="0"/>
                <w:sz w:val="24"/>
                <w:szCs w:val="28"/>
                <w:lang w:val="ru-RU" w:eastAsia="en-US" w:bidi="ar-SA"/>
              </w:rPr>
              <w:t>Кафедра Информационных Технологий и Вычислительных Систем</w:t>
            </w:r>
          </w:p>
        </w:tc>
      </w:tr>
    </w:tbl>
    <w:p>
      <w:pPr>
        <w:pStyle w:val="Normal"/>
        <w:rPr>
          <w:rFonts w:ascii="Times New Roman" w:hAnsi="Times New Roman" w:cs="Times New Roman"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КУРСОВАЯ РАБОТА</w:t>
      </w:r>
    </w:p>
    <w:tbl>
      <w:tblPr>
        <w:tblW w:w="9344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6"/>
        <w:gridCol w:w="7218"/>
      </w:tblGrid>
      <w:tr>
        <w:trPr/>
        <w:tc>
          <w:tcPr>
            <w:tcW w:w="2126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по дисциплине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</w:tc>
        <w:tc>
          <w:tcPr>
            <w:tcW w:w="7218" w:type="dxa"/>
            <w:tcBorders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Компьютерная графика</w:t>
            </w:r>
          </w:p>
        </w:tc>
      </w:tr>
      <w:tr>
        <w:trPr/>
        <w:tc>
          <w:tcPr>
            <w:tcW w:w="2126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7218" w:type="dxa"/>
            <w:tcBorders>
              <w:top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W w:w="2126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на тему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</w:tc>
        <w:tc>
          <w:tcPr>
            <w:tcW w:w="7218" w:type="dxa"/>
            <w:tcBorders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Style w:val="Emphasis"/>
                <w:rFonts w:eastAsia="Calibri" w:cs="Times New Roman" w:ascii="Times New Roman" w:hAnsi="Times New Roman"/>
                <w:color w:val="404040"/>
                <w:kern w:val="0"/>
                <w:sz w:val="28"/>
                <w:szCs w:val="28"/>
                <w:shd w:fill="FFFFFF" w:val="clear"/>
                <w:lang w:val="ru-RU" w:eastAsia="en-US" w:bidi="ar-SA"/>
              </w:rPr>
              <w:t>Разработка программного комплекса для изучения основ освещения и текстурирования в OpenGL</w:t>
            </w:r>
          </w:p>
        </w:tc>
      </w:tr>
    </w:tbl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tbl>
      <w:tblPr>
        <w:tblW w:w="9354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769"/>
        <w:gridCol w:w="1150"/>
        <w:gridCol w:w="2617"/>
        <w:gridCol w:w="1561"/>
        <w:gridCol w:w="1840"/>
      </w:tblGrid>
      <w:tr>
        <w:trPr/>
        <w:tc>
          <w:tcPr>
            <w:tcW w:w="141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студента</w:t>
            </w:r>
          </w:p>
        </w:tc>
        <w:tc>
          <w:tcPr>
            <w:tcW w:w="769" w:type="dxa"/>
            <w:tcBorders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i/>
                <w:i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i/>
                <w:kern w:val="0"/>
                <w:sz w:val="28"/>
                <w:szCs w:val="28"/>
                <w:lang w:val="en-US" w:eastAsia="en-US" w:bidi="ar-SA"/>
              </w:rPr>
              <w:t>2</w:t>
            </w:r>
          </w:p>
        </w:tc>
        <w:tc>
          <w:tcPr>
            <w:tcW w:w="1150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626" w:leader="none"/>
              </w:tabs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курса</w:t>
            </w:r>
          </w:p>
        </w:tc>
        <w:tc>
          <w:tcPr>
            <w:tcW w:w="2617" w:type="dxa"/>
            <w:tcBorders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i/>
                <w:i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i/>
                <w:kern w:val="0"/>
                <w:sz w:val="28"/>
                <w:szCs w:val="28"/>
                <w:lang w:val="ru-RU" w:eastAsia="en-US" w:bidi="ar-SA"/>
              </w:rPr>
              <w:t>бакалавриата</w:t>
            </w:r>
          </w:p>
        </w:tc>
        <w:tc>
          <w:tcPr>
            <w:tcW w:w="156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группы</w:t>
            </w:r>
          </w:p>
        </w:tc>
        <w:tc>
          <w:tcPr>
            <w:tcW w:w="1840" w:type="dxa"/>
            <w:tcBorders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i/>
                <w:i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i/>
                <w:kern w:val="0"/>
                <w:sz w:val="28"/>
                <w:szCs w:val="28"/>
                <w:lang w:val="ru-RU" w:eastAsia="en-US" w:bidi="ar-SA"/>
              </w:rPr>
              <w:t>ИДБ-23-05</w:t>
            </w:r>
          </w:p>
        </w:tc>
      </w:tr>
    </w:tbl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tbl>
      <w:tblPr>
        <w:tblW w:w="9344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4"/>
      </w:tblGrid>
      <w:tr>
        <w:trPr/>
        <w:tc>
          <w:tcPr>
            <w:tcW w:w="9344" w:type="dxa"/>
            <w:tcBorders>
              <w:bottom w:val="single" w:sz="12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b/>
                <w:kern w:val="0"/>
                <w:sz w:val="28"/>
                <w:szCs w:val="28"/>
                <w:lang w:val="ru-RU" w:eastAsia="en-US" w:bidi="ar-SA"/>
              </w:rPr>
              <w:t>КУЗНЕЦОВА ВЯЧЕСЛАВА ДМИТРИЕВИЧА</w:t>
            </w:r>
          </w:p>
        </w:tc>
      </w:tr>
    </w:tbl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tbl>
      <w:tblPr>
        <w:tblW w:w="9354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7199"/>
      </w:tblGrid>
      <w:tr>
        <w:trPr/>
        <w:tc>
          <w:tcPr>
            <w:tcW w:w="2155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направление:</w:t>
            </w:r>
          </w:p>
        </w:tc>
        <w:tc>
          <w:tcPr>
            <w:tcW w:w="7199" w:type="dxa"/>
            <w:tcBorders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09.03.01 Информатика и вычислительная техника</w:t>
            </w:r>
          </w:p>
        </w:tc>
      </w:tr>
      <w:tr>
        <w:trPr/>
        <w:tc>
          <w:tcPr>
            <w:tcW w:w="2155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7199" w:type="dxa"/>
            <w:tcBorders>
              <w:top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W w:w="2155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специальность:</w:t>
            </w:r>
          </w:p>
        </w:tc>
        <w:tc>
          <w:tcPr>
            <w:tcW w:w="7199" w:type="dxa"/>
            <w:tcBorders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Разработка программных комплексов в рамках цифровой трансформации деятельности предприятий</w:t>
            </w:r>
          </w:p>
        </w:tc>
      </w:tr>
    </w:tbl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Выполнил:</w:t>
      </w:r>
    </w:p>
    <w:tbl>
      <w:tblPr>
        <w:tblW w:w="9345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6"/>
        <w:gridCol w:w="3262"/>
        <w:gridCol w:w="2257"/>
      </w:tblGrid>
      <w:tr>
        <w:trPr/>
        <w:tc>
          <w:tcPr>
            <w:tcW w:w="3826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студент группы ИДБ-23-05</w:t>
            </w:r>
          </w:p>
        </w:tc>
        <w:tc>
          <w:tcPr>
            <w:tcW w:w="3262" w:type="dxa"/>
            <w:tcBorders/>
            <w:vAlign w:val="bottom"/>
          </w:tcPr>
          <w:p>
            <w:pPr>
              <w:pStyle w:val="Normal"/>
              <w:widowControl/>
              <w:pBdr>
                <w:bottom w:val="single" w:sz="6" w:space="1" w:color="000000"/>
              </w:pBdr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0"/>
                <w:szCs w:val="28"/>
                <w:lang w:val="ru-RU" w:eastAsia="en-US" w:bidi="ar-SA"/>
              </w:rPr>
              <w:t>(подпись)</w:t>
            </w:r>
          </w:p>
        </w:tc>
        <w:tc>
          <w:tcPr>
            <w:tcW w:w="2257" w:type="dxa"/>
            <w:tcBorders/>
            <w:vAlign w:val="bottom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Кузнецов В.Д.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right"/>
              <w:rPr>
                <w:rFonts w:ascii="Times New Roman" w:hAnsi="Times New Roman" w:cs="Times New Roman"/>
                <w:sz w:val="20"/>
                <w:szCs w:val="28"/>
              </w:rPr>
            </w:pPr>
            <w:r>
              <w:rPr>
                <w:rFonts w:cs="Times New Roman" w:ascii="Times New Roman" w:hAnsi="Times New Roman"/>
                <w:sz w:val="20"/>
                <w:szCs w:val="28"/>
              </w:rPr>
            </w:r>
          </w:p>
        </w:tc>
      </w:tr>
      <w:tr>
        <w:trPr/>
        <w:tc>
          <w:tcPr>
            <w:tcW w:w="3826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26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Calibri"/>
                <w:kern w:val="0"/>
                <w:sz w:val="22"/>
                <w:szCs w:val="22"/>
                <w:lang w:val="ru-RU" w:eastAsia="en-US" w:bidi="ar-SA"/>
              </w:rPr>
            </w:pPr>
            <w:r>
              <w:rPr>
                <w:rFonts w:eastAsia="Calibri" w:ascii="Calibri" w:hAnsi="Calibri"/>
                <w:kern w:val="0"/>
                <w:sz w:val="22"/>
                <w:szCs w:val="22"/>
                <w:lang w:val="ru-RU" w:eastAsia="en-US" w:bidi="ar-SA"/>
              </w:rPr>
            </w:r>
          </w:p>
        </w:tc>
        <w:tc>
          <w:tcPr>
            <w:tcW w:w="2257" w:type="dxa"/>
            <w:tcBorders/>
            <w:vAlign w:val="bottom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cs="Times New Roman" w:ascii="Times New Roman" w:hAnsi="Times New Roman"/>
          <w:b/>
          <w:color w:val="FF0000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Принял:</w:t>
      </w:r>
    </w:p>
    <w:tbl>
      <w:tblPr>
        <w:tblW w:w="9345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61"/>
        <w:gridCol w:w="3259"/>
        <w:gridCol w:w="2825"/>
      </w:tblGrid>
      <w:tr>
        <w:trPr/>
        <w:tc>
          <w:tcPr>
            <w:tcW w:w="326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 xml:space="preserve">доцент, к.т.н. </w:t>
              <w:br/>
              <w:t>Гаврилов А.Г.</w:t>
            </w:r>
          </w:p>
        </w:tc>
        <w:tc>
          <w:tcPr>
            <w:tcW w:w="3259" w:type="dxa"/>
            <w:tcBorders/>
            <w:vAlign w:val="bottom"/>
          </w:tcPr>
          <w:p>
            <w:pPr>
              <w:pStyle w:val="Normal"/>
              <w:widowControl/>
              <w:pBdr>
                <w:bottom w:val="single" w:sz="6" w:space="1" w:color="000000"/>
              </w:pBdr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0"/>
                <w:szCs w:val="28"/>
                <w:lang w:val="ru-RU" w:eastAsia="en-US" w:bidi="ar-SA"/>
              </w:rPr>
              <w:t>(оценка)</w:t>
            </w:r>
          </w:p>
        </w:tc>
        <w:tc>
          <w:tcPr>
            <w:tcW w:w="2825" w:type="dxa"/>
            <w:tcBorders/>
            <w:vAlign w:val="bottom"/>
          </w:tcPr>
          <w:p>
            <w:pPr>
              <w:pStyle w:val="Normal"/>
              <w:widowControl/>
              <w:pBdr>
                <w:bottom w:val="single" w:sz="6" w:space="1" w:color="000000"/>
              </w:pBdr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0"/>
                <w:szCs w:val="28"/>
                <w:lang w:val="ru-RU" w:eastAsia="en-US" w:bidi="ar-SA"/>
              </w:rPr>
              <w:t>(подпись)</w:t>
            </w:r>
          </w:p>
        </w:tc>
      </w:tr>
      <w:tr>
        <w:trPr/>
        <w:tc>
          <w:tcPr>
            <w:tcW w:w="326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259" w:type="dxa"/>
            <w:tcBorders/>
            <w:vAlign w:val="bottom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Calibri"/>
                <w:kern w:val="0"/>
                <w:sz w:val="22"/>
                <w:szCs w:val="22"/>
                <w:lang w:val="ru-RU" w:eastAsia="en-US" w:bidi="ar-SA"/>
              </w:rPr>
            </w:pPr>
            <w:r>
              <w:rPr>
                <w:rFonts w:eastAsia="Calibri" w:ascii="Calibri" w:hAnsi="Calibri"/>
                <w:kern w:val="0"/>
                <w:sz w:val="22"/>
                <w:szCs w:val="22"/>
                <w:lang w:val="ru-RU" w:eastAsia="en-US" w:bidi="ar-SA"/>
              </w:rPr>
            </w:r>
          </w:p>
        </w:tc>
        <w:tc>
          <w:tcPr>
            <w:tcW w:w="2825" w:type="dxa"/>
            <w:tcBorders/>
            <w:vAlign w:val="bottom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Calibri"/>
                <w:kern w:val="0"/>
                <w:sz w:val="22"/>
                <w:szCs w:val="22"/>
                <w:lang w:val="ru-RU" w:eastAsia="en-US" w:bidi="ar-SA"/>
              </w:rPr>
            </w:pPr>
            <w:r>
              <w:rPr>
                <w:rFonts w:eastAsia="Calibri" w:ascii="Calibri" w:hAnsi="Calibri"/>
                <w:kern w:val="0"/>
                <w:sz w:val="22"/>
                <w:szCs w:val="22"/>
                <w:lang w:val="ru-RU" w:eastAsia="en-US" w:bidi="ar-SA"/>
              </w:rPr>
            </w:r>
          </w:p>
        </w:tc>
      </w:tr>
      <w:tr>
        <w:trPr/>
        <w:tc>
          <w:tcPr>
            <w:tcW w:w="326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259" w:type="dxa"/>
            <w:tcBorders/>
            <w:vAlign w:val="bottom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  <w:tc>
          <w:tcPr>
            <w:tcW w:w="2825" w:type="dxa"/>
            <w:tcBorders/>
            <w:vAlign w:val="bottom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«__» _______ 20___г.</w:t>
            </w:r>
          </w:p>
        </w:tc>
      </w:tr>
    </w:tbl>
    <w:p>
      <w:pPr>
        <w:pStyle w:val="Normal"/>
        <w:spacing w:lineRule="auto" w:line="360" w:before="0" w:after="160"/>
        <w:jc w:val="center"/>
        <w:rPr>
          <w:rFonts w:ascii="Times New Roman" w:hAnsi="Times New Roman" w:cs="Times New Roman"/>
          <w:sz w:val="32"/>
          <w:szCs w:val="32"/>
        </w:rPr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br w:type="page"/>
          </w:r>
          <w:r>
            <w:rPr/>
            <w:t>Оглавление</w:t>
          </w:r>
        </w:p>
        <w:p>
          <w:pPr>
            <w:pStyle w:val="TOC1"/>
            <w:tabs>
              <w:tab w:val="clear" w:pos="9354"/>
              <w:tab w:val="right" w:pos="9353" w:leader="dot"/>
            </w:tabs>
            <w:rPr/>
          </w:pPr>
          <w:r>
            <w:fldChar w:fldCharType="begin"/>
          </w:r>
          <w:r>
            <w:rPr>
              <w:rStyle w:val="Style14"/>
            </w:rPr>
            <w:instrText xml:space="preserve"> TOC \f \o "1-9" \h</w:instrText>
          </w:r>
          <w:r>
            <w:rPr>
              <w:rStyle w:val="Style14"/>
            </w:rPr>
            <w:fldChar w:fldCharType="separate"/>
          </w:r>
          <w:hyperlink w:anchor="__RefHeading___Toc819_1278691033">
            <w:r>
              <w:rPr>
                <w:rStyle w:val="Style14"/>
              </w:rPr>
              <w:t>Описание</w:t>
              <w:tab/>
              <w:t>3</w:t>
            </w:r>
          </w:hyperlink>
        </w:p>
        <w:p>
          <w:pPr>
            <w:pStyle w:val="TOC1"/>
            <w:tabs>
              <w:tab w:val="clear" w:pos="9354"/>
              <w:tab w:val="right" w:pos="9353" w:leader="dot"/>
            </w:tabs>
            <w:rPr/>
          </w:pPr>
          <w:hyperlink w:anchor="__RefHeading___Toc2831_2933618721">
            <w:r>
              <w:rPr>
                <w:rStyle w:val="Style14"/>
              </w:rPr>
              <w:t>Управление</w:t>
              <w:tab/>
              <w:t>7</w:t>
            </w:r>
          </w:hyperlink>
        </w:p>
        <w:p>
          <w:pPr>
            <w:pStyle w:val="TOC1"/>
            <w:tabs>
              <w:tab w:val="clear" w:pos="9354"/>
              <w:tab w:val="right" w:pos="9353" w:leader="dot"/>
            </w:tabs>
            <w:rPr/>
          </w:pPr>
          <w:hyperlink w:anchor="__RefHeading___Toc3062_2933618721">
            <w:r>
              <w:rPr>
                <w:rStyle w:val="Style14"/>
              </w:rPr>
              <w:t>Заключение</w:t>
              <w:tab/>
              <w:t>8</w:t>
            </w:r>
          </w:hyperlink>
        </w:p>
        <w:p>
          <w:pPr>
            <w:pStyle w:val="TOC1"/>
            <w:tabs>
              <w:tab w:val="clear" w:pos="9354"/>
              <w:tab w:val="right" w:pos="9353" w:leader="dot"/>
            </w:tabs>
            <w:rPr/>
          </w:pPr>
          <w:hyperlink w:anchor="__RefHeading___Toc2835_2933618721">
            <w:r>
              <w:rPr>
                <w:rStyle w:val="Style14"/>
              </w:rPr>
              <w:t>Ссылки</w:t>
              <w:tab/>
              <w:t>9</w:t>
            </w:r>
          </w:hyperlink>
          <w:r>
            <w:rPr>
              <w:rStyle w:val="Style14"/>
            </w:rPr>
            <w:fldChar w:fldCharType="end"/>
          </w:r>
        </w:p>
      </w:sdtContent>
    </w:sdt>
    <w:p>
      <w:pPr>
        <w:pStyle w:val="BodyText"/>
        <w:spacing w:lineRule="auto" w:line="276" w:before="0" w:after="140"/>
        <w:jc w:val="both"/>
        <w:rPr/>
      </w:pPr>
      <w:r>
        <w:rPr/>
      </w:r>
      <w:r>
        <w:br w:type="page"/>
      </w:r>
    </w:p>
    <w:p>
      <w:pPr>
        <w:pStyle w:val="Heading1"/>
        <w:numPr>
          <w:ilvl w:val="0"/>
          <w:numId w:val="0"/>
        </w:numPr>
        <w:ind w:hanging="0" w:left="0"/>
        <w:rPr/>
      </w:pPr>
      <w:bookmarkStart w:id="0" w:name="__RefHeading___Toc819_1278691033"/>
      <w:bookmarkEnd w:id="0"/>
      <w:r>
        <w:rPr/>
        <w:t>Описание</w:t>
      </w:r>
    </w:p>
    <w:p>
      <w:pPr>
        <w:pStyle w:val="BodyText"/>
        <w:rPr/>
      </w:pPr>
      <w:r>
        <w:rPr/>
        <w:t>Разработанная в рамках курсовой работы программа представляет собой интерактивное приложение, демонстрирующее некоторые из возможностей современных технологий компьютерной графики</w:t>
      </w:r>
      <w:r>
        <w:rPr/>
        <w:t>.</w:t>
      </w:r>
    </w:p>
    <w:p>
      <w:pPr>
        <w:pStyle w:val="BodyText"/>
        <w:rPr/>
      </w:pPr>
      <w:r>
        <w:rPr/>
        <w:t>На рисунках 1 и 2 представлена сцена, отображаемая программой: комната с костром и плита с различными кубами, плоскостями  и несколькими источниками освещения.</w:t>
      </w:r>
      <w: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column">
                  <wp:posOffset>0</wp:posOffset>
                </wp:positionH>
                <wp:positionV relativeFrom="paragraph">
                  <wp:posOffset>781050</wp:posOffset>
                </wp:positionV>
                <wp:extent cx="4818380" cy="3051810"/>
                <wp:effectExtent l="0" t="0" r="0" b="0"/>
                <wp:wrapTopAndBottom/>
                <wp:docPr id="1" name="Врезка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380" cy="305181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818380" cy="2710180"/>
                                  <wp:effectExtent l="0" t="0" r="0" b="0"/>
                                  <wp:docPr id="2" name="Изображение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Изображение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18380" cy="27101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Комната с зажжённым костром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79.4pt;height:240.3pt;mso-wrap-distance-left:0pt;mso-wrap-distance-right:0pt;mso-wrap-distance-top:0pt;mso-wrap-distance-bottom:0pt;margin-top:61.5pt;mso-position-vertical-relative:text;margin-left:0pt;mso-position-horizontal-relative:text">
                <v:textbox inset="0in,0in,0in,0in">
                  <w:txbxContent>
                    <w:p>
                      <w:pPr>
                        <w:pStyle w:val="Style19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818380" cy="2710180"/>
                            <wp:effectExtent l="0" t="0" r="0" b="0"/>
                            <wp:docPr id="3" name="Изображение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Изображение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18380" cy="27101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Комната с зажжённым костром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0</wp:posOffset>
                </wp:positionH>
                <wp:positionV relativeFrom="paragraph">
                  <wp:posOffset>3878580</wp:posOffset>
                </wp:positionV>
                <wp:extent cx="4839970" cy="3253105"/>
                <wp:effectExtent l="0" t="0" r="0" b="0"/>
                <wp:wrapTopAndBottom/>
                <wp:docPr id="4" name="Врезка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9970" cy="325310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839970" cy="2722245"/>
                                  <wp:effectExtent l="0" t="0" r="0" b="0"/>
                                  <wp:docPr id="5" name="Изображение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Изображение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39970" cy="272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Плита с кубами и стенами для демонстрации вохможностей обработки света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81.1pt;height:256.15pt;mso-wrap-distance-left:0pt;mso-wrap-distance-right:0pt;mso-wrap-distance-top:0pt;mso-wrap-distance-bottom:0pt;margin-top:305.4pt;mso-position-vertical-relative:text;margin-left:0pt;mso-position-horizontal-relative:text">
                <v:textbox inset="0in,0in,0in,0in">
                  <w:txbxContent>
                    <w:p>
                      <w:pPr>
                        <w:pStyle w:val="Style19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839970" cy="2722245"/>
                            <wp:effectExtent l="0" t="0" r="0" b="0"/>
                            <wp:docPr id="6" name="Изображение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Изображение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39970" cy="272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Плита с кубами и стенами для демонстрации вохможностей обработки света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BodyText"/>
        <w:rPr/>
      </w:pPr>
      <w:r>
        <w:rPr/>
      </w:r>
      <w:r>
        <w:br w:type="page"/>
      </w:r>
    </w:p>
    <w:p>
      <w:pPr>
        <w:pStyle w:val="BodyText"/>
        <w:rPr/>
      </w:pPr>
      <w:r>
        <w:rPr/>
        <w:t>В программе реализовано взаимодействие игрока с костром: по желанию можно поменять состояние костра с "потушенного" на "зажжённый". При смене состояния изменится как общий вид костра, так и окружение в виде источника света, связанного с ним. На рисунке 3 представлен костёр в "потушенном" состоянии</w:t>
      </w:r>
      <w:r>
        <w:rPr/>
        <w:t>.</w:t>
      </w:r>
      <w:r>
        <mc:AlternateContent>
          <mc:Choice Requires="wps">
            <w:drawing>
              <wp:anchor behindDoc="0" distT="0" distB="0" distL="0" distR="0" simplePos="0" locked="0" layoutInCell="0" allowOverlap="1" relativeHeight="7">
                <wp:simplePos x="0" y="0"/>
                <wp:positionH relativeFrom="column">
                  <wp:posOffset>0</wp:posOffset>
                </wp:positionH>
                <wp:positionV relativeFrom="paragraph">
                  <wp:posOffset>1446530</wp:posOffset>
                </wp:positionV>
                <wp:extent cx="5939790" cy="3534410"/>
                <wp:effectExtent l="0" t="0" r="0" b="0"/>
                <wp:wrapTopAndBottom/>
                <wp:docPr id="7" name="Врезка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353441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39790" cy="3340735"/>
                                  <wp:effectExtent l="0" t="0" r="0" b="0"/>
                                  <wp:docPr id="8" name="Изображение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Изображение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790" cy="3340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Костёр в "потушенном" состоянии: огонь и свет от костра отсутствуют.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/>
                              <w:t>Для демонстрационных целей сам костёр освещается другим источником света белого цвета.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67.7pt;height:278.3pt;mso-wrap-distance-left:0pt;mso-wrap-distance-right:0pt;mso-wrap-distance-top:0pt;mso-wrap-distance-bottom:0pt;margin-top:113.9pt;mso-position-vertical-relative:text;margin-left:0pt;mso-position-horizontal-relative:text">
                <v:textbox inset="0in,0in,0in,0in">
                  <w:txbxContent>
                    <w:p>
                      <w:pPr>
                        <w:pStyle w:val="Style19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39790" cy="3340735"/>
                            <wp:effectExtent l="0" t="0" r="0" b="0"/>
                            <wp:docPr id="9" name="Изображение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Изображение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790" cy="3340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</w:t>
                      </w:r>
                      <w:r>
                        <w:rPr/>
                        <w:fldChar w:fldCharType="end"/>
                      </w:r>
                      <w:r>
                        <w:rPr/>
                        <w:t>: Костёр в "потушенном" состоянии: огонь и свет от костра отсутствуют.</w:t>
                      </w:r>
                      <w:r>
                        <w:rPr/>
                        <w:t xml:space="preserve"> </w:t>
                      </w:r>
                      <w:r>
                        <w:rPr/>
                        <w:t>Для демонстрационных целей сам костёр освещается другим источником света белого цвета.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BodyText"/>
        <w:rPr/>
      </w:pPr>
      <w:r>
        <w:rPr/>
      </w:r>
      <w:r>
        <w:br w:type="page"/>
      </w:r>
    </w:p>
    <w:p>
      <w:pPr>
        <w:pStyle w:val="BodyText"/>
        <w:rPr/>
      </w:pPr>
      <w:r>
        <w:rPr/>
        <w:t>Программа реализует отображение объектов соответствующими им материалами. Поддерживаемые характеристики материала: цвет (diffuse color) или текстура (diffuse map) (одно из двух) и карта нормалей (normal map) (опционально).</w:t>
      </w:r>
      <w:r>
        <w:rPr/>
        <w:t xml:space="preserve"> </w:t>
      </w:r>
      <w:r>
        <w:rPr/>
        <w:t>Поддержка uv-развёртки в паре с текстурой, загруженной в режиме повторения (GL_REPEAT) позволяет использовать ненормированные текстурные координаты для заполнения полигонов повторяющейся текстурой. Пример такого подхода представлен на рисунке 4.</w:t>
      </w:r>
      <w:r>
        <mc:AlternateContent>
          <mc:Choice Requires="wps">
            <w:drawing>
              <wp:anchor behindDoc="0" distT="0" distB="0" distL="0" distR="0" simplePos="0" locked="0" layoutInCell="0" allowOverlap="1" relativeHeight="9">
                <wp:simplePos x="0" y="0"/>
                <wp:positionH relativeFrom="column">
                  <wp:posOffset>0</wp:posOffset>
                </wp:positionH>
                <wp:positionV relativeFrom="paragraph">
                  <wp:posOffset>1646555</wp:posOffset>
                </wp:positionV>
                <wp:extent cx="5939790" cy="3871595"/>
                <wp:effectExtent l="0" t="0" r="0" b="0"/>
                <wp:wrapTopAndBottom/>
                <wp:docPr id="10" name="Врезка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387159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39790" cy="3340735"/>
                                  <wp:effectExtent l="0" t="0" r="0" b="0"/>
                                  <wp:docPr id="11" name="Изображение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Изображение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790" cy="3340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Стена комнаты состотит из двух треугольников, но благодаря технике повторения на разные участки накладываются одинаковые части текстуры.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67.7pt;height:304.85pt;mso-wrap-distance-left:0pt;mso-wrap-distance-right:0pt;mso-wrap-distance-top:0pt;mso-wrap-distance-bottom:0pt;margin-top:129.65pt;mso-position-vertical-relative:text;margin-left:0pt;mso-position-horizontal-relative:text">
                <v:textbox inset="0in,0in,0in,0in">
                  <w:txbxContent>
                    <w:p>
                      <w:pPr>
                        <w:pStyle w:val="Style19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39790" cy="3340735"/>
                            <wp:effectExtent l="0" t="0" r="0" b="0"/>
                            <wp:docPr id="12" name="Изображение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Изображение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790" cy="3340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</w:t>
                      </w:r>
                      <w:r>
                        <w:rPr/>
                        <w:fldChar w:fldCharType="end"/>
                      </w:r>
                      <w:r>
                        <w:rPr/>
                        <w:t>: Стена комнаты состотит из двух треугольников, но благодаря технике повторения на разные участки накладываются одинаковые части текстуры.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BodyText"/>
        <w:rPr/>
      </w:pPr>
      <w:r>
        <w:rPr/>
      </w:r>
      <w:r>
        <w:br w:type="page"/>
      </w:r>
    </w:p>
    <w:p>
      <w:pPr>
        <w:pStyle w:val="BodyText"/>
        <w:rPr/>
      </w:pPr>
      <w:r>
        <w:rPr/>
        <w:t>В программе реализована динамичная модель освещения Блинна</w:t>
      </w:r>
      <w:r>
        <w:rPr>
          <w:rFonts w:eastAsia="Times New Roman" w:cs="Times New Roman" w:ascii="Times New Roman" w:hAnsi="Times New Roman"/>
        </w:rPr>
        <w:t>–</w:t>
      </w:r>
      <w:r>
        <w:rPr/>
        <w:t>Фонга с помощью программы</w:t>
      </w:r>
      <w:r>
        <w:rPr>
          <w:rFonts w:eastAsia="Times New Roman" w:cs="Times New Roman" w:ascii="Times New Roman" w:hAnsi="Times New Roman"/>
        </w:rPr>
        <w:t>–</w:t>
      </w:r>
      <w:r>
        <w:rPr>
          <w:rFonts w:eastAsia="Calibri" w:cs="Tahoma"/>
        </w:rPr>
        <w:t>шейдера, работающей на специализированном оборудовании (видеокарте). Поддерживается 16 точечных источников света с различными параметрами цвета и мощности.</w:t>
      </w:r>
      <w:r>
        <w:rPr>
          <w:rFonts w:eastAsia="Calibri" w:cs="Tahoma"/>
        </w:rPr>
        <w:t xml:space="preserve"> На рисунке 5 продемонстрирована плоскость, освещённая четырьмя разными источниками света.</w:t>
      </w:r>
      <w:r>
        <mc:AlternateContent>
          <mc:Choice Requires="wps">
            <w:drawing>
              <wp:anchor behindDoc="0" distT="0" distB="0" distL="0" distR="0" simplePos="0" locked="0" layoutInCell="0" allowOverlap="1" relativeHeight="11">
                <wp:simplePos x="0" y="0"/>
                <wp:positionH relativeFrom="column">
                  <wp:posOffset>0</wp:posOffset>
                </wp:positionH>
                <wp:positionV relativeFrom="paragraph">
                  <wp:posOffset>1433195</wp:posOffset>
                </wp:positionV>
                <wp:extent cx="5939790" cy="3871595"/>
                <wp:effectExtent l="0" t="0" r="0" b="0"/>
                <wp:wrapTopAndBottom/>
                <wp:docPr id="13" name="Врезка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387159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39790" cy="3340735"/>
                                  <wp:effectExtent l="0" t="0" r="0" b="0"/>
                                  <wp:docPr id="14" name="Изображение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Изображение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790" cy="3340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Плоскость, освещённая с разных сторон белым, красным, синим и зелёным источникми света.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67.7pt;height:304.85pt;mso-wrap-distance-left:0pt;mso-wrap-distance-right:0pt;mso-wrap-distance-top:0pt;mso-wrap-distance-bottom:0pt;margin-top:112.85pt;mso-position-vertical-relative:text;margin-left:0pt;mso-position-horizontal-relative:text">
                <v:textbox inset="0in,0in,0in,0in">
                  <w:txbxContent>
                    <w:p>
                      <w:pPr>
                        <w:pStyle w:val="Style19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39790" cy="3340735"/>
                            <wp:effectExtent l="0" t="0" r="0" b="0"/>
                            <wp:docPr id="15" name="Изображение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Изображение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790" cy="3340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</w:t>
                      </w:r>
                      <w:r>
                        <w:rPr/>
                        <w:fldChar w:fldCharType="end"/>
                      </w:r>
                      <w:r>
                        <w:rPr/>
                        <w:t>: Плоскость, освещённая с разных сторон белым, красным, синим и зелёным источникми света.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BodyText"/>
        <w:rPr/>
      </w:pPr>
      <w:r>
        <w:rPr>
          <w:rFonts w:eastAsia="Calibri" w:cs="Tahoma"/>
        </w:rPr>
        <w:t>Т</w:t>
      </w:r>
      <w:r>
        <w:rPr>
          <w:rFonts w:eastAsia="Calibri" w:cs="Tahoma"/>
        </w:rPr>
        <w:t>акже для взаимодействия доступны четыре источника света белого, красного, зелёного и синего цветов соответственно. Можно перемещать источники вдоль трёх главных осей, а также увеличивать или уменьшать их мощность.</w:t>
      </w:r>
      <w:r>
        <w:rPr>
          <w:rFonts w:eastAsia="Calibri" w:cs="Tahoma"/>
        </w:rPr>
        <w:t xml:space="preserve"> Освещение обновлется по мере взамодействия с источниками.</w:t>
      </w:r>
    </w:p>
    <w:p>
      <w:pPr>
        <w:pStyle w:val="BodyText"/>
        <w:rPr>
          <w:rFonts w:ascii="Times New Roman" w:hAnsi="Times New Roman" w:eastAsia="Calibri" w:cs="Tahoma"/>
        </w:rPr>
      </w:pPr>
      <w:r>
        <w:rPr/>
      </w:r>
      <w:r>
        <w:br w:type="page"/>
      </w:r>
    </w:p>
    <w:p>
      <w:pPr>
        <w:pStyle w:val="Heading1"/>
        <w:numPr>
          <w:ilvl w:val="0"/>
          <w:numId w:val="0"/>
        </w:numPr>
        <w:ind w:hanging="0" w:left="0"/>
        <w:rPr/>
      </w:pPr>
      <w:bookmarkStart w:id="1" w:name="__RefHeading___Toc2831_2933618721"/>
      <w:bookmarkEnd w:id="1"/>
      <w:r>
        <w:rPr/>
        <w:t>Управление</w:t>
      </w:r>
    </w:p>
    <w:p>
      <w:pPr>
        <w:pStyle w:val="BodyText"/>
        <w:rPr/>
      </w:pPr>
      <w:r>
        <w:rPr/>
        <w:t>Передвижение камеры в горизонтальной плоскости:</w:t>
      </w:r>
    </w:p>
    <w:p>
      <w:pPr>
        <w:pStyle w:val="BodyText"/>
        <w:numPr>
          <w:ilvl w:val="0"/>
          <w:numId w:val="2"/>
        </w:numPr>
        <w:jc w:val="left"/>
        <w:rPr/>
      </w:pPr>
      <w:r>
        <w:rPr/>
        <w:t xml:space="preserve">W </w:t>
      </w:r>
      <w:r>
        <w:rPr>
          <w:rFonts w:eastAsia="Liberation Serif" w:cs="Liberation Serif" w:ascii="Liberation Serif" w:hAnsi="Liberation Serif"/>
        </w:rPr>
        <w:t>—</w:t>
      </w:r>
      <w:r>
        <w:rPr>
          <w:rFonts w:eastAsia="Calibri" w:cs="Tahoma"/>
        </w:rPr>
        <w:t xml:space="preserve"> вперёд по направлению камеры</w:t>
      </w:r>
    </w:p>
    <w:p>
      <w:pPr>
        <w:pStyle w:val="BodyText"/>
        <w:numPr>
          <w:ilvl w:val="0"/>
          <w:numId w:val="2"/>
        </w:numPr>
        <w:jc w:val="left"/>
        <w:rPr/>
      </w:pPr>
      <w:r>
        <w:rPr>
          <w:rFonts w:eastAsia="Calibri" w:cs="Tahoma"/>
        </w:rPr>
        <w:t xml:space="preserve">S </w:t>
      </w:r>
      <w:r>
        <w:rPr>
          <w:rFonts w:eastAsia="Liberation Serif" w:cs="Liberation Serif" w:ascii="Liberation Serif" w:hAnsi="Liberation Serif"/>
        </w:rPr>
        <w:t>— назад по направлению камеры</w:t>
      </w:r>
    </w:p>
    <w:p>
      <w:pPr>
        <w:pStyle w:val="BodyText"/>
        <w:numPr>
          <w:ilvl w:val="0"/>
          <w:numId w:val="2"/>
        </w:numPr>
        <w:jc w:val="left"/>
        <w:rPr/>
      </w:pPr>
      <w:r>
        <w:rPr/>
        <w:t xml:space="preserve">A </w:t>
      </w:r>
      <w:r>
        <w:rPr>
          <w:rFonts w:eastAsia="Liberation Serif" w:cs="Liberation Serif" w:ascii="Liberation Serif" w:hAnsi="Liberation Serif"/>
        </w:rPr>
        <w:t>— влево от направления камеры</w:t>
      </w:r>
    </w:p>
    <w:p>
      <w:pPr>
        <w:pStyle w:val="BodyText"/>
        <w:numPr>
          <w:ilvl w:val="0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>D — вправо от направления камеры</w:t>
      </w:r>
    </w:p>
    <w:p>
      <w:pPr>
        <w:pStyle w:val="BodyText"/>
        <w:numPr>
          <w:ilvl w:val="0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>P — переключить режим свободной камеры</w:t>
      </w:r>
    </w:p>
    <w:p>
      <w:pPr>
        <w:pStyle w:val="BodyText"/>
        <w:numPr>
          <w:ilvl w:val="0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>Shift — опуститься ниже (только в режиме свободной камеры)</w:t>
      </w:r>
    </w:p>
    <w:p>
      <w:pPr>
        <w:pStyle w:val="BodyText"/>
        <w:numPr>
          <w:ilvl w:val="0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>Пробел — подняться выше (только в режиме свободной камеры)</w:t>
      </w:r>
    </w:p>
    <w:p>
      <w:pPr>
        <w:pStyle w:val="BodyText"/>
        <w:numPr>
          <w:ilvl w:val="0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>1,2,3,4 — выбрать для управления источник света №1,2,3,4 соответственно</w:t>
      </w:r>
    </w:p>
    <w:p>
      <w:pPr>
        <w:pStyle w:val="BodyText"/>
        <w:numPr>
          <w:ilvl w:val="1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>Источник света 1 — белый</w:t>
      </w:r>
    </w:p>
    <w:p>
      <w:pPr>
        <w:pStyle w:val="BodyText"/>
        <w:numPr>
          <w:ilvl w:val="1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>Источник света 2 — красный</w:t>
      </w:r>
    </w:p>
    <w:p>
      <w:pPr>
        <w:pStyle w:val="BodyText"/>
        <w:numPr>
          <w:ilvl w:val="1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>Источник света 3 — зелёный</w:t>
      </w:r>
    </w:p>
    <w:p>
      <w:pPr>
        <w:pStyle w:val="BodyText"/>
        <w:numPr>
          <w:ilvl w:val="1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>Источник света 4 — синий</w:t>
      </w:r>
    </w:p>
    <w:p>
      <w:pPr>
        <w:pStyle w:val="BodyText"/>
        <w:numPr>
          <w:ilvl w:val="0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>С</w:t>
      </w:r>
      <w:r>
        <w:rPr>
          <w:rFonts w:eastAsia="Liberation Serif" w:cs="Liberation Serif" w:ascii="Liberation Serif" w:hAnsi="Liberation Serif"/>
        </w:rPr>
        <w:t xml:space="preserve">трелки </w:t>
      </w:r>
      <w:r>
        <w:rPr>
          <w:rFonts w:eastAsia="Liberation Serif" w:cs="Liberation Serif" w:ascii="Liberation Serif" w:hAnsi="Liberation Serif"/>
        </w:rPr>
        <w:t>—</w:t>
      </w:r>
      <w:r>
        <w:rPr>
          <w:rFonts w:eastAsia="Liberation Serif" w:cs="Liberation Serif" w:ascii="Liberation Serif" w:hAnsi="Liberation Serif"/>
        </w:rPr>
        <w:t xml:space="preserve"> переместить выбранный источник вдоль одной из горизонтальных главных осей</w:t>
      </w:r>
    </w:p>
    <w:p>
      <w:pPr>
        <w:pStyle w:val="BodyText"/>
        <w:numPr>
          <w:ilvl w:val="0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 xml:space="preserve">-,= </w:t>
      </w:r>
      <w:r>
        <w:rPr>
          <w:rFonts w:eastAsia="Liberation Serif" w:cs="Liberation Serif" w:ascii="Liberation Serif" w:hAnsi="Liberation Serif"/>
        </w:rPr>
        <w:t>—</w:t>
      </w:r>
      <w:r>
        <w:rPr>
          <w:rFonts w:eastAsia="Liberation Serif" w:cs="Liberation Serif" w:ascii="Liberation Serif" w:hAnsi="Liberation Serif"/>
        </w:rPr>
        <w:t xml:space="preserve"> переместить выбранный источник </w:t>
      </w:r>
      <w:r>
        <w:rPr>
          <w:rFonts w:eastAsia="Liberation Serif" w:cs="Liberation Serif" w:ascii="Liberation Serif" w:hAnsi="Liberation Serif"/>
        </w:rPr>
        <w:t xml:space="preserve">света </w:t>
      </w:r>
      <w:r>
        <w:rPr>
          <w:rFonts w:eastAsia="Liberation Serif" w:cs="Liberation Serif" w:ascii="Liberation Serif" w:hAnsi="Liberation Serif"/>
        </w:rPr>
        <w:t>ниже/выше</w:t>
      </w:r>
    </w:p>
    <w:p>
      <w:pPr>
        <w:pStyle w:val="BodyText"/>
        <w:numPr>
          <w:ilvl w:val="0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 xml:space="preserve">H,J </w:t>
      </w:r>
      <w:r>
        <w:rPr>
          <w:rFonts w:eastAsia="Liberation Serif" w:cs="Liberation Serif" w:ascii="Liberation Serif" w:hAnsi="Liberation Serif"/>
        </w:rPr>
        <w:t>—</w:t>
      </w:r>
      <w:r>
        <w:rPr>
          <w:rFonts w:eastAsia="Liberation Serif" w:cs="Liberation Serif" w:ascii="Liberation Serif" w:hAnsi="Liberation Serif"/>
        </w:rPr>
        <w:t xml:space="preserve"> уменьшить/увеличить мощность выбранного источника света</w:t>
      </w:r>
    </w:p>
    <w:p>
      <w:pPr>
        <w:pStyle w:val="BodyText"/>
        <w:numPr>
          <w:ilvl w:val="0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 xml:space="preserve">E </w:t>
      </w:r>
      <w:r>
        <w:rPr>
          <w:rFonts w:eastAsia="Liberation Serif" w:cs="Liberation Serif" w:ascii="Liberation Serif" w:hAnsi="Liberation Serif"/>
        </w:rPr>
        <w:t>—</w:t>
      </w:r>
      <w:r>
        <w:rPr>
          <w:rFonts w:eastAsia="Liberation Serif" w:cs="Liberation Serif" w:ascii="Liberation Serif" w:hAnsi="Liberation Serif"/>
        </w:rPr>
        <w:t xml:space="preserve"> переключить состояние костра</w:t>
      </w:r>
    </w:p>
    <w:p>
      <w:pPr>
        <w:pStyle w:val="BodyText"/>
        <w:numPr>
          <w:ilvl w:val="1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>По умолчанию костёр выключен</w:t>
      </w:r>
    </w:p>
    <w:p>
      <w:pPr>
        <w:pStyle w:val="BodyText"/>
        <w:numPr>
          <w:ilvl w:val="0"/>
          <w:numId w:val="2"/>
        </w:numPr>
        <w:jc w:val="left"/>
        <w:rPr/>
      </w:pPr>
      <w:r>
        <w:rPr>
          <w:rFonts w:eastAsia="Liberation Serif" w:cs="Liberation Serif" w:ascii="Liberation Serif" w:hAnsi="Liberation Serif"/>
        </w:rPr>
        <w:t xml:space="preserve">Tab </w:t>
      </w:r>
      <w:r>
        <w:rPr>
          <w:rFonts w:eastAsia="Liberation Serif" w:cs="Liberation Serif" w:ascii="Liberation Serif" w:hAnsi="Liberation Serif"/>
        </w:rPr>
        <w:t>—</w:t>
      </w:r>
      <w:r>
        <w:rPr>
          <w:rFonts w:eastAsia="Liberation Serif" w:cs="Liberation Serif" w:ascii="Liberation Serif" w:hAnsi="Liberation Serif"/>
        </w:rPr>
        <w:t xml:space="preserve"> переключить скорость передвижения</w:t>
      </w:r>
    </w:p>
    <w:p>
      <w:pPr>
        <w:pStyle w:val="BodyText"/>
        <w:jc w:val="left"/>
        <w:rPr>
          <w:rFonts w:ascii="Liberation Serif" w:hAnsi="Liberation Serif" w:eastAsia="Liberation Serif" w:cs="Liberation Serif"/>
        </w:rPr>
      </w:pPr>
      <w:r>
        <w:rPr/>
      </w:r>
      <w:r>
        <w:br w:type="page"/>
      </w:r>
    </w:p>
    <w:p>
      <w:pPr>
        <w:pStyle w:val="Heading1"/>
        <w:numPr>
          <w:ilvl w:val="0"/>
          <w:numId w:val="0"/>
        </w:numPr>
        <w:ind w:hanging="0" w:left="0"/>
        <w:rPr/>
      </w:pPr>
      <w:bookmarkStart w:id="2" w:name="__RefHeading___Toc3062_2933618721"/>
      <w:bookmarkEnd w:id="2"/>
      <w:r>
        <w:rPr/>
        <w:t>Заключение</w:t>
      </w:r>
    </w:p>
    <w:p>
      <w:pPr>
        <w:pStyle w:val="BodyText"/>
        <w:rPr/>
      </w:pPr>
      <w:r>
        <w:rPr/>
        <w:t xml:space="preserve">В рамках курсовой работы была реализована программа, демонстрирующая некоторые из возможностей компьютерной графики с использованием OpenGL. В работе представлены: </w:t>
      </w:r>
      <w:r>
        <w:rPr/>
        <w:t>загрузка</w:t>
      </w:r>
      <w:r>
        <w:rPr/>
        <w:t xml:space="preserve"> </w:t>
      </w:r>
      <w:r>
        <w:rPr/>
        <w:t xml:space="preserve">и отрисовка </w:t>
      </w:r>
      <w:r>
        <w:rPr/>
        <w:t>моделей подмножества формата wavafront obj и материалов wavafront mtllib, текстурирование объектов с применением карт нормалей, динамическое освещение по модели Блинна-Фонга</w:t>
      </w:r>
      <w:r>
        <w:rPr/>
        <w:t xml:space="preserve"> с использованием шейдеров</w:t>
      </w:r>
      <w:r>
        <w:rPr/>
        <w:t>, взаимодействие игрока с миром</w:t>
      </w:r>
      <w:r>
        <w:rPr/>
        <w:t>.</w:t>
      </w:r>
      <w:r>
        <w:rPr/>
        <w:t xml:space="preserve"> Ссылки на исходный код, исполняемые сборки, использованные сторонние материалы указаны в секции "Ссылки".</w:t>
      </w:r>
      <w:r>
        <w:br w:type="page"/>
      </w:r>
    </w:p>
    <w:p>
      <w:pPr>
        <w:pStyle w:val="Heading1"/>
        <w:numPr>
          <w:ilvl w:val="0"/>
          <w:numId w:val="0"/>
        </w:numPr>
        <w:ind w:hanging="0" w:left="0"/>
        <w:rPr/>
      </w:pPr>
      <w:bookmarkStart w:id="3" w:name="__RefHeading___Toc2835_2933618721"/>
      <w:bookmarkEnd w:id="3"/>
      <w:r>
        <w:rPr/>
        <w:t>Ссылки</w:t>
      </w:r>
    </w:p>
    <w:p>
      <w:pPr>
        <w:pStyle w:val="BodyText"/>
        <w:jc w:val="left"/>
        <w:rPr/>
      </w:pPr>
      <w:r>
        <w:rPr/>
        <w:t>Исходный код с</w:t>
      </w:r>
      <w:r>
        <w:rPr/>
        <w:t xml:space="preserve"> инструкцией по сборке и</w:t>
      </w:r>
      <w:r>
        <w:rPr/>
        <w:t xml:space="preserve"> предсобранным исполняемым файлом под Windows x64:</w:t>
        <w:br/>
      </w:r>
      <w:hyperlink r:id="rId12">
        <w:r>
          <w:rPr>
            <w:rStyle w:val="Hyperlink"/>
          </w:rPr>
          <w:t>https://github.com/greentea-cup/kgcursach</w:t>
        </w:r>
      </w:hyperlink>
    </w:p>
    <w:p>
      <w:pPr>
        <w:pStyle w:val="BodyText"/>
        <w:jc w:val="left"/>
        <w:rPr/>
      </w:pPr>
      <w:r>
        <w:rPr/>
        <w:t>Зависимости проекта</w:t>
      </w:r>
      <w:r>
        <w:rPr/>
        <w:t>:</w:t>
      </w:r>
    </w:p>
    <w:p>
      <w:pPr>
        <w:pStyle w:val="BodyText"/>
        <w:numPr>
          <w:ilvl w:val="0"/>
          <w:numId w:val="3"/>
        </w:numPr>
        <w:jc w:val="left"/>
        <w:rPr/>
      </w:pPr>
      <w:r>
        <w:rPr/>
        <w:t>OpenGL</w:t>
      </w:r>
      <w:r>
        <w:rPr>
          <w:rFonts w:eastAsia="Liberation Serif" w:cs="Liberation Serif" w:ascii="Liberation Serif" w:hAnsi="Liberation Serif"/>
        </w:rPr>
        <w:t xml:space="preserve"> 4.* (может быть понижена вручную через изменение кода проекта)</w:t>
      </w:r>
      <w:r>
        <w:rPr>
          <w:rFonts w:eastAsia="Liberation Serif" w:cs="Liberation Serif" w:ascii="Liberation Serif" w:hAnsi="Liberation Serif"/>
        </w:rPr>
        <w:t xml:space="preserve"> (</w:t>
      </w:r>
      <w:r>
        <w:rPr>
          <w:rFonts w:eastAsia="Liberation Serif" w:cs="Liberation Serif" w:ascii="Liberation Serif" w:hAnsi="Liberation Serif"/>
        </w:rPr>
        <w:t xml:space="preserve">реализация </w:t>
      </w:r>
      <w:r>
        <w:rPr>
          <w:rFonts w:eastAsia="Liberation Serif" w:cs="Liberation Serif" w:ascii="Liberation Serif" w:hAnsi="Liberation Serif"/>
        </w:rPr>
        <w:t>зависит от платформы)</w:t>
      </w:r>
    </w:p>
    <w:p>
      <w:pPr>
        <w:pStyle w:val="BodyText"/>
        <w:numPr>
          <w:ilvl w:val="0"/>
          <w:numId w:val="3"/>
        </w:numPr>
        <w:jc w:val="left"/>
        <w:rPr/>
      </w:pPr>
      <w:r>
        <w:rPr>
          <w:rFonts w:eastAsia="Times New Roman" w:cs="Times New Roman" w:ascii="Times New Roman" w:hAnsi="Times New Roman"/>
        </w:rPr>
        <w:t>SDL2</w:t>
      </w:r>
      <w:r>
        <w:rPr>
          <w:rFonts w:eastAsia="Times New Roman" w:cs="Times New Roman" w:ascii="Times New Roman" w:hAnsi="Times New Roman"/>
        </w:rPr>
        <w:t xml:space="preserve"> (включена в архив с предсобранной программой)</w:t>
      </w:r>
    </w:p>
    <w:p>
      <w:pPr>
        <w:pStyle w:val="BodyText"/>
        <w:numPr>
          <w:ilvl w:val="0"/>
          <w:numId w:val="3"/>
        </w:numPr>
        <w:jc w:val="left"/>
        <w:rPr/>
      </w:pPr>
      <w:r>
        <w:rPr>
          <w:rFonts w:eastAsia="Times New Roman" w:cs="Times New Roman" w:ascii="Times New Roman" w:hAnsi="Times New Roman"/>
        </w:rPr>
        <w:t>glm (</w:t>
      </w:r>
      <w:r>
        <w:rPr>
          <w:rFonts w:eastAsia="Times New Roman" w:cs="Times New Roman" w:ascii="Times New Roman" w:hAnsi="Times New Roman"/>
        </w:rPr>
        <w:t>на этапе сборки, включена в проект</w:t>
      </w:r>
      <w:r>
        <w:rPr>
          <w:rFonts w:eastAsia="Times New Roman" w:cs="Times New Roman" w:ascii="Times New Roman" w:hAnsi="Times New Roman"/>
        </w:rPr>
        <w:t>)</w:t>
      </w:r>
    </w:p>
    <w:p>
      <w:pPr>
        <w:pStyle w:val="BodyText"/>
        <w:numPr>
          <w:ilvl w:val="0"/>
          <w:numId w:val="3"/>
        </w:numPr>
        <w:jc w:val="left"/>
        <w:rPr/>
      </w:pPr>
      <w:r>
        <w:rPr>
          <w:rFonts w:eastAsia="Times New Roman" w:cs="Times New Roman" w:ascii="Times New Roman" w:hAnsi="Times New Roman"/>
        </w:rPr>
        <w:t>stb_image (</w:t>
      </w:r>
      <w:r>
        <w:rPr>
          <w:rFonts w:eastAsia="Times New Roman" w:cs="Times New Roman" w:ascii="Times New Roman" w:hAnsi="Times New Roman"/>
        </w:rPr>
        <w:t>на этапе сборки, включена в проект</w:t>
      </w:r>
      <w:r>
        <w:rPr>
          <w:rFonts w:eastAsia="Times New Roman" w:cs="Times New Roman" w:ascii="Times New Roman" w:hAnsi="Times New Roman"/>
        </w:rPr>
        <w:t>)</w:t>
      </w:r>
    </w:p>
    <w:p>
      <w:pPr>
        <w:pStyle w:val="BodyText"/>
        <w:numPr>
          <w:ilvl w:val="0"/>
          <w:numId w:val="3"/>
        </w:numPr>
        <w:spacing w:before="0" w:after="140"/>
        <w:jc w:val="left"/>
        <w:rPr/>
      </w:pPr>
      <w:r>
        <w:rPr>
          <w:rFonts w:eastAsia="Times New Roman" w:cs="Times New Roman" w:ascii="Times New Roman" w:hAnsi="Times New Roman"/>
        </w:rPr>
        <w:t>glew (включена в архив с предсобранной программой)</w:t>
      </w:r>
    </w:p>
    <w:sectPr>
      <w:headerReference w:type="default" r:id="rId13"/>
      <w:headerReference w:type="first" r:id="rId14"/>
      <w:footerReference w:type="default" r:id="rId15"/>
      <w:footerReference w:type="first" r:id="rId16"/>
      <w:type w:val="nextPage"/>
      <w:pgSz w:w="11906" w:h="16838"/>
      <w:pgMar w:left="1701" w:right="851" w:gutter="0" w:header="709" w:top="1134" w:footer="709" w:bottom="766"/>
      <w:pgNumType w:fmt="decimal"/>
      <w:formProt w:val="false"/>
      <w:titlePg/>
      <w:textDirection w:val="lrTb"/>
      <w:docGrid w:type="default" w:linePitch="360" w:charSpace="4294959103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fixed"/>
  </w:font>
  <w:font w:name="Times New Roman">
    <w:charset w:val="01"/>
    <w:family w:val="roman"/>
    <w:pitch w:val="default"/>
  </w:font>
  <w:font w:name="Liberation Serif">
    <w:altName w:val="Times New Roman"/>
    <w:charset w:val="01"/>
    <w:family w:val="roman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9</w:t>
    </w:r>
    <w:r>
      <w:rPr/>
      <w:fldChar w:fldCharType="end"/>
    </w:r>
  </w:p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>
        <w:rFonts w:ascii="Times New Roman" w:hAnsi="Times New Roman" w:cs="Times New Roman"/>
        <w:sz w:val="28"/>
      </w:rPr>
    </w:pPr>
    <w:r>
      <w:rPr>
        <w:rFonts w:cs="Times New Roman" w:ascii="Times New Roman" w:hAnsi="Times New Roman"/>
        <w:sz w:val="28"/>
      </w:rPr>
      <w:t>Москва 2025 г.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center"/>
      <w:rPr/>
    </w:pPr>
    <w:r>
      <w:rPr/>
      <w:drawing>
        <wp:inline distT="0" distB="0" distL="0" distR="0">
          <wp:extent cx="1508760" cy="443230"/>
          <wp:effectExtent l="0" t="0" r="0" b="0"/>
          <wp:docPr id="16" name="Рисунок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Рисунок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08760" cy="4432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>
    <w:pPr>
      <w:pStyle w:val="Header"/>
      <w:jc w:val="cent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75"/>
  <w:defaultTabStop w:val="708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ahoma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true"/>
      <w:autoSpaceDE w:val="true"/>
      <w:bidi w:val="0"/>
      <w:spacing w:lineRule="auto" w:line="259" w:before="0" w:after="160"/>
      <w:jc w:val="left"/>
    </w:pPr>
    <w:rPr>
      <w:rFonts w:ascii="Times New Roman" w:hAnsi="Times New Roman" w:eastAsia="Calibri" w:cs="Tahoma"/>
      <w:color w:val="auto"/>
      <w:kern w:val="0"/>
      <w:sz w:val="28"/>
      <w:szCs w:val="22"/>
      <w:lang w:val="ru-RU" w:eastAsia="en-US" w:bidi="ar-SA"/>
    </w:rPr>
  </w:style>
  <w:style w:type="paragraph" w:styleId="Heading1">
    <w:name w:val="heading 1"/>
    <w:basedOn w:val="Style16"/>
    <w:next w:val="BodyText"/>
    <w:qFormat/>
    <w:pPr>
      <w:numPr>
        <w:ilvl w:val="0"/>
        <w:numId w:val="1"/>
      </w:numPr>
      <w:spacing w:before="240" w:after="120"/>
      <w:outlineLvl w:val="0"/>
    </w:pPr>
    <w:rPr>
      <w:rFonts w:ascii="Times New Roman" w:hAnsi="Times New Roman"/>
      <w:b/>
      <w:bCs/>
      <w:sz w:val="32"/>
      <w:szCs w:val="36"/>
    </w:rPr>
  </w:style>
  <w:style w:type="paragraph" w:styleId="Heading3">
    <w:name w:val="heading 3"/>
    <w:basedOn w:val="Style16"/>
    <w:next w:val="BodyText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DefaultParagraphFont">
    <w:name w:val="Default Paragraph Font"/>
    <w:qFormat/>
    <w:rPr/>
  </w:style>
  <w:style w:type="character" w:styleId="Style12">
    <w:name w:val="Верхний колонтитул Знак"/>
    <w:basedOn w:val="DefaultParagraphFont"/>
    <w:qFormat/>
    <w:rPr/>
  </w:style>
  <w:style w:type="character" w:styleId="Style13">
    <w:name w:val="Нижний колонтитул Знак"/>
    <w:basedOn w:val="DefaultParagraphFont"/>
    <w:qFormat/>
    <w:rPr/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rPr>
      <w:color w:themeColor="followedHyperlink" w:val="954F72"/>
      <w:u w:val="single"/>
    </w:rPr>
  </w:style>
  <w:style w:type="character" w:styleId="Strong">
    <w:name w:val="Strong"/>
    <w:basedOn w:val="DefaultParagraphFont"/>
    <w:qFormat/>
    <w:rPr>
      <w:b/>
      <w:bCs/>
    </w:rPr>
  </w:style>
  <w:style w:type="character" w:styleId="HTMLCode">
    <w:name w:val="HTML Code"/>
    <w:basedOn w:val="DefaultParagraphFont"/>
    <w:qFormat/>
    <w:rPr>
      <w:rFonts w:ascii="Courier New" w:hAnsi="Courier New" w:eastAsia="Times New Roman" w:cs="Courier New"/>
      <w:sz w:val="20"/>
      <w:szCs w:val="20"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Style14">
    <w:name w:val="Ссылка указателя"/>
    <w:qFormat/>
    <w:rPr/>
  </w:style>
  <w:style w:type="character" w:styleId="Style15">
    <w:name w:val="Маркеры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  <w:jc w:val="both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17">
    <w:name w:val="Указатель"/>
    <w:basedOn w:val="Normal"/>
    <w:qFormat/>
    <w:pPr>
      <w:suppressLineNumbers/>
    </w:pPr>
    <w:rPr>
      <w:rFonts w:cs="FreeSans"/>
    </w:rPr>
  </w:style>
  <w:style w:type="paragraph" w:styleId="user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user1">
    <w:name w:val="Указатель (user)"/>
    <w:basedOn w:val="Normal"/>
    <w:qFormat/>
    <w:pPr>
      <w:suppressLineNumbers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ds-markdown-paragraph">
    <w:name w:val="ds-markdown-paragraph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Style18">
    <w:name w:val="Содержимое таблицы"/>
    <w:basedOn w:val="Normal"/>
    <w:qFormat/>
    <w:pPr>
      <w:widowControl w:val="false"/>
      <w:suppressLineNumbers/>
    </w:pPr>
    <w:rPr/>
  </w:style>
  <w:style w:type="paragraph" w:styleId="IndexHeading">
    <w:name w:val="index heading"/>
    <w:basedOn w:val="Style16"/>
    <w:pPr>
      <w:suppressLineNumbers/>
      <w:ind w:hanging="0" w:lef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left="0"/>
    </w:pPr>
    <w:rPr>
      <w:rFonts w:ascii="Times New Roman" w:hAnsi="Times New Roman"/>
      <w:b/>
      <w:bCs/>
      <w:sz w:val="32"/>
      <w:szCs w:val="32"/>
    </w:rPr>
  </w:style>
  <w:style w:type="paragraph" w:styleId="TOC1">
    <w:name w:val="toc 1"/>
    <w:basedOn w:val="Style17"/>
    <w:pPr>
      <w:tabs>
        <w:tab w:val="clear" w:pos="708"/>
        <w:tab w:val="right" w:pos="9354" w:leader="dot"/>
      </w:tabs>
      <w:ind w:hanging="0" w:left="0"/>
    </w:pPr>
    <w:rPr/>
  </w:style>
  <w:style w:type="paragraph" w:styleId="Style19">
    <w:name w:val="Рисунок"/>
    <w:basedOn w:val="Caption"/>
    <w:qFormat/>
    <w:pPr/>
    <w:rPr>
      <w:i w:val="false"/>
      <w:iCs/>
    </w:rPr>
  </w:style>
  <w:style w:type="paragraph" w:styleId="Style20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Style21">
    <w:name w:val="Без списка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5.png"/><Relationship Id="rId12" Type="http://schemas.openxmlformats.org/officeDocument/2006/relationships/hyperlink" Target="https://github.com/greentea-cup/kgcursach" TargetMode="External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6.png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Application>LibreOffice/24.8.7.2$Linux_X86_64 LibreOffice_project/480$Build-2</Application>
  <AppVersion>15.0000</AppVersion>
  <Pages>9</Pages>
  <Words>636</Words>
  <Characters>4358</Characters>
  <CharactersWithSpaces>4913</CharactersWithSpaces>
  <Paragraphs>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2025-05-29T14:45:00Z</dcterms:created>
  <dc:creator>Andrey Gavrilov</dc:creator>
  <dc:description/>
  <dc:language>ru-RU</dc:language>
  <cp:lastModifiedBy/>
  <cp:lastPrinted>2025-06-30T16:44:39Z</cp:lastPrinted>
  <dcterms:modified xsi:type="dcterms:W3CDTF">2025-06-30T16:43:57Z</dcterms:modified>
  <cp:revision>65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